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7B" w:rsidRDefault="002B5744">
      <w:pPr>
        <w:jc w:val="center"/>
        <w:rPr>
          <w:rFonts w:ascii="Calibri" w:hAnsi="Calibri" w:cs="Calibri"/>
          <w:b/>
          <w:i/>
          <w:color w:val="333300"/>
          <w:sz w:val="52"/>
          <w:szCs w:val="52"/>
        </w:rPr>
      </w:pPr>
      <w:r>
        <w:rPr>
          <w:rFonts w:ascii="Calibri" w:hAnsi="Calibri" w:cs="Calibri"/>
          <w:b/>
          <w:i/>
          <w:color w:val="333300"/>
          <w:sz w:val="52"/>
          <w:szCs w:val="52"/>
        </w:rPr>
        <w:t>NORMANDIJA  &amp;  BRETANJA</w:t>
      </w:r>
    </w:p>
    <w:p w:rsidR="00012E7B" w:rsidRDefault="002B5744">
      <w:pPr>
        <w:jc w:val="center"/>
        <w:rPr>
          <w:rFonts w:ascii="Calibri" w:hAnsi="Calibri" w:cs="Calibri"/>
          <w:b/>
          <w:i/>
          <w:color w:val="FF0000"/>
          <w:sz w:val="36"/>
          <w:szCs w:val="36"/>
          <w:lang w:val="hr-HR"/>
        </w:rPr>
      </w:pPr>
      <w:r>
        <w:rPr>
          <w:rFonts w:ascii="Calibri" w:hAnsi="Calibri" w:cs="Calibri"/>
          <w:b/>
          <w:i/>
          <w:color w:val="FF0000"/>
          <w:sz w:val="36"/>
          <w:szCs w:val="36"/>
          <w:lang w:val="hr-HR"/>
        </w:rPr>
        <w:t>RENNES</w:t>
      </w:r>
      <w:r>
        <w:rPr>
          <w:rFonts w:ascii="Calibri" w:hAnsi="Calibri" w:cs="Calibri"/>
          <w:b/>
          <w:i/>
          <w:color w:val="FF0000"/>
          <w:sz w:val="36"/>
          <w:szCs w:val="36"/>
        </w:rPr>
        <w:t xml:space="preserve"> – </w:t>
      </w:r>
      <w:r>
        <w:rPr>
          <w:rFonts w:ascii="Calibri" w:hAnsi="Calibri" w:cs="Calibri"/>
          <w:b/>
          <w:i/>
          <w:color w:val="FF0000"/>
          <w:sz w:val="36"/>
          <w:szCs w:val="36"/>
          <w:lang w:val="hr-HR"/>
        </w:rPr>
        <w:t>SAINT MALO</w:t>
      </w:r>
      <w:r>
        <w:rPr>
          <w:rFonts w:ascii="Calibri" w:hAnsi="Calibri" w:cs="Calibri"/>
          <w:b/>
          <w:i/>
          <w:color w:val="FF0000"/>
          <w:sz w:val="36"/>
          <w:szCs w:val="36"/>
        </w:rPr>
        <w:t xml:space="preserve">– MONT SAINT MICHEL – </w:t>
      </w:r>
      <w:r>
        <w:rPr>
          <w:rFonts w:ascii="Calibri" w:hAnsi="Calibri" w:cs="Calibri"/>
          <w:b/>
          <w:i/>
          <w:color w:val="FF0000"/>
          <w:sz w:val="36"/>
          <w:szCs w:val="36"/>
          <w:lang w:val="hr-HR"/>
        </w:rPr>
        <w:t>CAEN</w:t>
      </w:r>
      <w:r>
        <w:rPr>
          <w:rFonts w:ascii="Calibri" w:hAnsi="Calibri" w:cs="Calibri"/>
          <w:b/>
          <w:i/>
          <w:color w:val="FF0000"/>
          <w:sz w:val="36"/>
          <w:szCs w:val="36"/>
        </w:rPr>
        <w:t xml:space="preserve"> – R</w:t>
      </w:r>
      <w:r>
        <w:rPr>
          <w:rFonts w:ascii="Calibri" w:hAnsi="Calibri" w:cs="Calibri"/>
          <w:b/>
          <w:i/>
          <w:color w:val="FF0000"/>
          <w:sz w:val="36"/>
          <w:szCs w:val="36"/>
          <w:lang w:val="hr-HR"/>
        </w:rPr>
        <w:t>OUEN- NANTES</w:t>
      </w:r>
    </w:p>
    <w:p w:rsidR="00012E7B" w:rsidRDefault="002B5744">
      <w:pPr>
        <w:jc w:val="right"/>
        <w:rPr>
          <w:b/>
          <w:i/>
          <w:color w:val="333300"/>
          <w:sz w:val="16"/>
          <w:szCs w:val="16"/>
          <w:lang w:val="hr-HR"/>
        </w:rPr>
      </w:pPr>
      <w:r>
        <w:rPr>
          <w:b/>
          <w:i/>
          <w:color w:val="333300"/>
          <w:sz w:val="16"/>
          <w:szCs w:val="16"/>
          <w:lang w:val="hr-HR"/>
        </w:rPr>
        <w:t>094-2026</w:t>
      </w:r>
    </w:p>
    <w:tbl>
      <w:tblPr>
        <w:tblStyle w:val="TableGrid"/>
        <w:tblW w:w="9599" w:type="dxa"/>
        <w:tblInd w:w="1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8249"/>
      </w:tblGrid>
      <w:tr w:rsidR="00012E7B" w:rsidTr="009F6BC9">
        <w:trPr>
          <w:trHeight w:val="864"/>
        </w:trPr>
        <w:tc>
          <w:tcPr>
            <w:tcW w:w="1350" w:type="dxa"/>
          </w:tcPr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-1525905</wp:posOffset>
                  </wp:positionH>
                  <wp:positionV relativeFrom="paragraph">
                    <wp:posOffset>24130</wp:posOffset>
                  </wp:positionV>
                  <wp:extent cx="1381125" cy="1151890"/>
                  <wp:effectExtent l="0" t="0" r="9525" b="10160"/>
                  <wp:wrapNone/>
                  <wp:docPr id="16" name="Picture 16" descr="http://previews.123rf.com/images/esinel/esinel1312/esinel131200009/24376255-Place-Sainte-Anne-Rennes-France-Stock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http://previews.123rf.com/images/esinel/esinel1312/esinel131200009/24376255-Place-Sainte-Anne-Rennes-France-Stock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eastAsia="hr-HR"/>
              </w:rPr>
              <w:t>29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.05.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petak</w:t>
            </w:r>
          </w:p>
          <w:p w:rsidR="00012E7B" w:rsidRDefault="00012E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49" w:type="dxa"/>
          </w:tcPr>
          <w:p w:rsidR="00012E7B" w:rsidRPr="002B5744" w:rsidRDefault="002B5744" w:rsidP="002B574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Okupljanje grupe u Zračnoj luci Split u 15:15 sati. Upoznavanje s voditeljem putovanja, podjela putne dokumentacije i prijava na let za Nantes u 17:15. Dolazak u </w:t>
            </w:r>
            <w:r w:rsidRPr="00151747">
              <w:rPr>
                <w:rFonts w:asciiTheme="minorHAnsi" w:hAnsiTheme="minorHAnsi"/>
                <w:b/>
                <w:sz w:val="20"/>
                <w:szCs w:val="20"/>
                <w:lang w:val="hr-HR"/>
              </w:rPr>
              <w:t>Nantes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u 19:35 sati. Vožnja do Rennesa.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Smještaj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hotel.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Noćenje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12E7B" w:rsidRPr="002B5744" w:rsidRDefault="00012E7B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E7B" w:rsidTr="009F6BC9">
        <w:trPr>
          <w:trHeight w:val="2579"/>
        </w:trPr>
        <w:tc>
          <w:tcPr>
            <w:tcW w:w="1350" w:type="dxa"/>
          </w:tcPr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30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.05.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subota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-1535430</wp:posOffset>
                  </wp:positionH>
                  <wp:positionV relativeFrom="paragraph">
                    <wp:posOffset>387985</wp:posOffset>
                  </wp:positionV>
                  <wp:extent cx="1371600" cy="1143000"/>
                  <wp:effectExtent l="19050" t="0" r="0" b="0"/>
                  <wp:wrapNone/>
                  <wp:docPr id="15" name="Picture 15" descr="http://i.imgur.com/x6pGu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http://i.imgur.com/x6pGu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49" w:type="dxa"/>
          </w:tcPr>
          <w:p w:rsidR="00012E7B" w:rsidRPr="002B5744" w:rsidRDefault="002B5744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Doručak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Odlazak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razgled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glavnog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Bretanje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Rennesa</w:t>
            </w:r>
            <w:proofErr w:type="spellEnd"/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Šetnja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gradskim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središtem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palača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Saint-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Geogres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Opera,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Gradska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vijećnica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zgrada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Parlamenta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Bretanje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te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klasicistička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katedrala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Saint Pierre.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Slobodno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vrijeme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Odlazak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razgled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1747">
              <w:rPr>
                <w:rFonts w:asciiTheme="minorHAnsi" w:hAnsiTheme="minorHAnsi"/>
                <w:b/>
                <w:sz w:val="20"/>
                <w:szCs w:val="20"/>
              </w:rPr>
              <w:t xml:space="preserve">Saint </w:t>
            </w:r>
            <w:proofErr w:type="spellStart"/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Malo</w:t>
            </w:r>
            <w:proofErr w:type="spellEnd"/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-a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nekadašnjeg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poznatog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gusarskog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uporišta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odakle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gusari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odlazili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osvajanje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prekomorskih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teritorija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francuskog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kralja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Šetnja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gradskim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zidinama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kojih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pruža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izvrstan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pogled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plaže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otočiće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Uz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same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gradske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zidine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smještena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Gradska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vijećnica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nekada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dvorac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kraljice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Anne de Bretagne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15.st.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Slobodno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vrijeme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živopisnom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gradskom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središtu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poslijepodnevnim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satima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polazak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Dinan</w:t>
            </w:r>
            <w:proofErr w:type="spellEnd"/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Ovaj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tipični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bretonski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grad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utvrđen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zidinama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13.st., a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krase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strme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uličice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romanička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bazilika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slikoviti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satni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toranj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14.st.,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čiji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sat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još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uvijek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točno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pokazuje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vrijeme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Slobodno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vrijeme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kavu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ili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šetnju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Povratak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Rennes.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Noćenje</w:t>
            </w:r>
            <w:proofErr w:type="spellEnd"/>
            <w:r w:rsidRPr="002B5744">
              <w:rPr>
                <w:rFonts w:asciiTheme="minorHAnsi" w:hAnsiTheme="minorHAnsi" w:cs="Calibri"/>
                <w:sz w:val="20"/>
                <w:szCs w:val="20"/>
                <w:lang w:val="hr-HR"/>
              </w:rPr>
              <w:t>.</w:t>
            </w:r>
          </w:p>
          <w:p w:rsidR="00012E7B" w:rsidRPr="002B5744" w:rsidRDefault="00012E7B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E7B" w:rsidTr="002B5744">
        <w:trPr>
          <w:trHeight w:val="2731"/>
        </w:trPr>
        <w:tc>
          <w:tcPr>
            <w:tcW w:w="1350" w:type="dxa"/>
          </w:tcPr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31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.05.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-1532255</wp:posOffset>
                  </wp:positionH>
                  <wp:positionV relativeFrom="paragraph">
                    <wp:posOffset>148590</wp:posOffset>
                  </wp:positionV>
                  <wp:extent cx="1409700" cy="1181100"/>
                  <wp:effectExtent l="0" t="0" r="0" b="0"/>
                  <wp:wrapNone/>
                  <wp:docPr id="12" name="Picture 12" descr="http://tours.france.com/backoffice/files/tours/20140503112938-Mont-Saint-Mic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http://tours.france.com/backoffice/files/tours/20140503112938-Mont-Saint-Mich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nedjelja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SimSun" w:eastAsia="SimSun" w:hAnsi="SimSun" w:cs="SimSun"/>
                <w:noProof/>
                <w:lang w:val="hr-HR" w:eastAsia="hr-H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-1537970</wp:posOffset>
                  </wp:positionH>
                  <wp:positionV relativeFrom="paragraph">
                    <wp:posOffset>1428750</wp:posOffset>
                  </wp:positionV>
                  <wp:extent cx="1396365" cy="943610"/>
                  <wp:effectExtent l="0" t="0" r="13335" b="8890"/>
                  <wp:wrapNone/>
                  <wp:docPr id="1" name="Picture 2" descr="schaerfsystem-france-747230_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chaerfsystem-france-747230_64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49" w:type="dxa"/>
          </w:tcPr>
          <w:p w:rsidR="00012E7B" w:rsidRPr="002B5744" w:rsidRDefault="002B5744" w:rsidP="002B574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Doručak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Odjava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hotela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Polazak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prema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Mont Saint Michel-u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otočiću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samostanu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koji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1979.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upisan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UNESCO-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ov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popis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mjesta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svjetske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bašt</w:t>
            </w:r>
            <w:r w:rsidR="0076453E">
              <w:rPr>
                <w:rFonts w:asciiTheme="minorHAnsi" w:hAnsiTheme="minorHAnsi"/>
                <w:sz w:val="20"/>
                <w:szCs w:val="20"/>
              </w:rPr>
              <w:t>ine</w:t>
            </w:r>
            <w:proofErr w:type="spellEnd"/>
            <w:r w:rsidR="0076453E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="0076453E">
              <w:rPr>
                <w:rFonts w:asciiTheme="minorHAnsi" w:hAnsiTheme="minorHAnsi"/>
                <w:sz w:val="20"/>
                <w:szCs w:val="20"/>
              </w:rPr>
              <w:t>Europi</w:t>
            </w:r>
            <w:proofErr w:type="spellEnd"/>
            <w:r w:rsidR="0076453E">
              <w:rPr>
                <w:rFonts w:asciiTheme="minorHAnsi" w:hAnsiTheme="minorHAnsi"/>
                <w:sz w:val="20"/>
                <w:szCs w:val="20"/>
              </w:rPr>
              <w:t>. Mont Saint Michel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srednjovjekovni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burg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izgrađen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oko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samostana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Mihovila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prostranom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> 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2B5744">
              <w:rPr>
                <w:rFonts w:asciiTheme="minorHAnsi" w:hAnsiTheme="minorHAnsi"/>
                <w:sz w:val="20"/>
                <w:szCs w:val="20"/>
              </w:rPr>
              <w:instrText xml:space="preserve"> HYPERLINK "http://hr.wikipedia.org/wiki/Zaljev" \o "Zaljev" </w:instrText>
            </w:r>
            <w:r w:rsidRPr="002B574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B5744">
              <w:rPr>
                <w:rStyle w:val="Hyperlink"/>
                <w:rFonts w:asciiTheme="minorHAnsi" w:hAnsiTheme="minorHAnsi" w:cs="Calibri"/>
                <w:color w:val="auto"/>
                <w:sz w:val="20"/>
                <w:szCs w:val="20"/>
                <w:u w:val="none"/>
              </w:rPr>
              <w:t>zaljevu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2B5744">
              <w:rPr>
                <w:rFonts w:asciiTheme="minorHAnsi" w:hAnsiTheme="minorHAnsi"/>
                <w:sz w:val="20"/>
                <w:szCs w:val="20"/>
              </w:rPr>
              <w:t> 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rijeke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> 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2B5744">
              <w:rPr>
                <w:rFonts w:asciiTheme="minorHAnsi" w:hAnsiTheme="minorHAnsi"/>
                <w:sz w:val="20"/>
                <w:szCs w:val="20"/>
              </w:rPr>
              <w:instrText xml:space="preserve"> HYPERLINK "http://hr.wikipedia.org/w/index.php?title=Couesnon&amp;action=edit&amp;redlink=1" \o "Couesnon (stranica ne postoji)" </w:instrText>
            </w:r>
            <w:r w:rsidRPr="002B574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B5744">
              <w:rPr>
                <w:rStyle w:val="Hyperlink"/>
                <w:rFonts w:asciiTheme="minorHAnsi" w:hAnsiTheme="minorHAnsi" w:cs="Calibri"/>
                <w:color w:val="auto"/>
                <w:sz w:val="20"/>
                <w:szCs w:val="20"/>
                <w:u w:val="none"/>
              </w:rPr>
              <w:t>Couesnon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2B5744">
              <w:rPr>
                <w:rFonts w:asciiTheme="minorHAnsi" w:hAnsiTheme="minorHAnsi"/>
                <w:sz w:val="20"/>
                <w:szCs w:val="20"/>
              </w:rPr>
              <w:t>. 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Tu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događaju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najveće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razlike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razini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vode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morskim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mijenama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Europi-i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do 15 m.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Doseljenici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brežuljak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početku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molili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kućama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prema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legendi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anđeo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Mihael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nije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naložio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da se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brežuljku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sagradi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svetište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Razg</w:t>
            </w:r>
            <w:r w:rsidR="00151747">
              <w:rPr>
                <w:rFonts w:asciiTheme="minorHAnsi" w:hAnsiTheme="minorHAnsi"/>
                <w:sz w:val="20"/>
                <w:szCs w:val="20"/>
              </w:rPr>
              <w:t>led</w:t>
            </w:r>
            <w:proofErr w:type="spellEnd"/>
            <w:r w:rsidR="001517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51747">
              <w:rPr>
                <w:rFonts w:asciiTheme="minorHAnsi" w:hAnsiTheme="minorHAnsi"/>
                <w:sz w:val="20"/>
                <w:szCs w:val="20"/>
              </w:rPr>
              <w:t>crkve</w:t>
            </w:r>
            <w:proofErr w:type="spellEnd"/>
            <w:r w:rsidR="001517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51747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="001517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51747">
              <w:rPr>
                <w:rFonts w:asciiTheme="minorHAnsi" w:hAnsiTheme="minorHAnsi"/>
                <w:sz w:val="20"/>
                <w:szCs w:val="20"/>
              </w:rPr>
              <w:t>slobodno</w:t>
            </w:r>
            <w:proofErr w:type="spellEnd"/>
            <w:r w:rsidR="001517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51747">
              <w:rPr>
                <w:rFonts w:asciiTheme="minorHAnsi" w:hAnsiTheme="minorHAnsi"/>
                <w:sz w:val="20"/>
                <w:szCs w:val="20"/>
              </w:rPr>
              <w:t>vrijeme</w:t>
            </w:r>
            <w:proofErr w:type="spellEnd"/>
            <w:r w:rsidR="00151747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životopisnom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mjestu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Nastavak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vožnje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r w:rsidRPr="00151747">
              <w:rPr>
                <w:rFonts w:asciiTheme="minorHAnsi" w:hAnsiTheme="minorHAnsi"/>
                <w:b/>
                <w:sz w:val="20"/>
                <w:szCs w:val="20"/>
                <w:lang w:val="hr-HR"/>
              </w:rPr>
              <w:t>Saint Laurent sur Mer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poznate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plaže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Omaha Beach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gdje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se u 2.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svjetskom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ratu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dan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“D”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iskrcali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saveznički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vojnici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>.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Nedaleko se nalazi i američko vojno groblje. Zajednički posjet  Memorijalnom muzeju Omaha Beach.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Nakon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posjeta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polazak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1747">
              <w:rPr>
                <w:rFonts w:asciiTheme="minorHAnsi" w:hAnsiTheme="minorHAnsi"/>
                <w:b/>
                <w:sz w:val="20"/>
                <w:szCs w:val="20"/>
              </w:rPr>
              <w:t>Caen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>.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Smještaj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hotel.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Noćenje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12E7B" w:rsidRPr="002B5744" w:rsidRDefault="00012E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12E7B" w:rsidRPr="002B5744" w:rsidRDefault="00012E7B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E7B" w:rsidTr="002B5744">
        <w:trPr>
          <w:trHeight w:val="2619"/>
        </w:trPr>
        <w:tc>
          <w:tcPr>
            <w:tcW w:w="1350" w:type="dxa"/>
          </w:tcPr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01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.0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6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.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-1525905</wp:posOffset>
                  </wp:positionH>
                  <wp:positionV relativeFrom="paragraph">
                    <wp:posOffset>866775</wp:posOffset>
                  </wp:positionV>
                  <wp:extent cx="1371600" cy="1117600"/>
                  <wp:effectExtent l="19050" t="0" r="0" b="0"/>
                  <wp:wrapNone/>
                  <wp:docPr id="13" name="Picture 13" descr="https://theluxurytravelexpert.files.wordpress.com/2015/01/our-lady-of-the-assumption-cathedral-rou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https://theluxurytravelexpert.files.wordpress.com/2015/01/our-lady-of-the-assumption-cathedral-rou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1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eastAsia="hr-HR"/>
              </w:rPr>
              <w:t>ponedjeljak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249" w:type="dxa"/>
          </w:tcPr>
          <w:p w:rsidR="00012E7B" w:rsidRPr="002B5744" w:rsidRDefault="002B5744" w:rsidP="002B5744">
            <w:pPr>
              <w:jc w:val="both"/>
              <w:rPr>
                <w:rFonts w:asciiTheme="minorHAnsi" w:hAnsiTheme="minorHAnsi"/>
                <w:sz w:val="20"/>
                <w:szCs w:val="20"/>
                <w:lang w:val="hr-HR"/>
              </w:rPr>
            </w:pP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Doručak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 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Odlazak do </w:t>
            </w:r>
            <w:r w:rsidRPr="00151747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hr-HR"/>
              </w:rPr>
              <w:t>Rouena</w:t>
            </w:r>
            <w:r w:rsidRPr="00151747">
              <w:rPr>
                <w:rFonts w:asciiTheme="minorHAnsi" w:hAnsiTheme="minorHAnsi"/>
                <w:b/>
                <w:sz w:val="20"/>
                <w:szCs w:val="20"/>
                <w:lang w:val="hr-HR"/>
              </w:rPr>
              <w:t>,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 glavnog grada Normandije. Razgled 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>“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sto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zvonika”i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rodnog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mjesta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Gustava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Flauberta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francuskog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književnika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koji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ubraja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među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najveće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europske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romanopisce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poznat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prvom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romanu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“Madame Bovary”.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Razgled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povijesne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jezgre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Katedrala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Palača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pravde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trg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Vieux Marche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kojem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Ivana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Orleanska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spaljena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lomači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pogled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novoizgrađeni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Normandijski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most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>,..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>.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Slobodno vrijeme. 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Polazak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autobusom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gradića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51747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Honfleur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kojem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nalazi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najveća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drvena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crkva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Francuskoj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Katarina. 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Ovaj živopisni gradić bio je kultno mjesto okupljanja i razmjene ideja slikara impresionista - Boudina, Moneta, Renoira,...Povratak u </w:t>
            </w:r>
            <w:r w:rsidRPr="00151747">
              <w:rPr>
                <w:rFonts w:asciiTheme="minorHAnsi" w:hAnsiTheme="minorHAnsi"/>
                <w:b/>
                <w:sz w:val="20"/>
                <w:szCs w:val="20"/>
                <w:lang w:val="hr-HR"/>
              </w:rPr>
              <w:t>Caen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Razgled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grada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koji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ujedno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glavni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grad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Donje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Normandije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Poznat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svojim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povijesni</w:t>
            </w:r>
            <w:r w:rsidR="009F6BC9" w:rsidRPr="002B5744">
              <w:rPr>
                <w:rFonts w:asciiTheme="minorHAnsi" w:hAnsiTheme="minorHAnsi"/>
                <w:sz w:val="20"/>
                <w:szCs w:val="20"/>
              </w:rPr>
              <w:t>m</w:t>
            </w:r>
            <w:proofErr w:type="spellEnd"/>
            <w:r w:rsidR="009F6BC9"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F6BC9" w:rsidRPr="002B5744">
              <w:rPr>
                <w:rFonts w:asciiTheme="minorHAnsi" w:hAnsiTheme="minorHAnsi"/>
                <w:sz w:val="20"/>
                <w:szCs w:val="20"/>
              </w:rPr>
              <w:t>spomenicima</w:t>
            </w:r>
            <w:proofErr w:type="spellEnd"/>
            <w:r w:rsidR="009F6BC9"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F6BC9" w:rsidRPr="002B5744">
              <w:rPr>
                <w:rFonts w:asciiTheme="minorHAnsi" w:hAnsiTheme="minorHAnsi"/>
                <w:sz w:val="20"/>
                <w:szCs w:val="20"/>
              </w:rPr>
              <w:t>iz</w:t>
            </w:r>
            <w:proofErr w:type="spellEnd"/>
            <w:r w:rsidR="009F6BC9"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F6BC9" w:rsidRPr="002B5744">
              <w:rPr>
                <w:rFonts w:asciiTheme="minorHAnsi" w:hAnsiTheme="minorHAnsi"/>
                <w:sz w:val="20"/>
                <w:szCs w:val="20"/>
              </w:rPr>
              <w:t>razdoblje</w:t>
            </w:r>
            <w:proofErr w:type="spellEnd"/>
            <w:r w:rsidR="009F6BC9"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F6BC9" w:rsidRPr="002B5744">
              <w:rPr>
                <w:rFonts w:asciiTheme="minorHAnsi" w:hAnsiTheme="minorHAnsi"/>
                <w:sz w:val="20"/>
                <w:szCs w:val="20"/>
              </w:rPr>
              <w:t>Vili</w:t>
            </w:r>
            <w:r w:rsidRPr="002B5744">
              <w:rPr>
                <w:rFonts w:asciiTheme="minorHAnsi" w:hAnsiTheme="minorHAnsi"/>
                <w:sz w:val="20"/>
                <w:szCs w:val="20"/>
              </w:rPr>
              <w:t>ma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I.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Osvajača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normandijskog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vojvode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koji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je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izveo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zadnj</w:t>
            </w:r>
            <w:r w:rsidR="003319C9">
              <w:rPr>
                <w:rFonts w:asciiTheme="minorHAnsi" w:hAnsiTheme="minorHAnsi"/>
                <w:sz w:val="20"/>
                <w:szCs w:val="20"/>
              </w:rPr>
              <w:t>u</w:t>
            </w:r>
            <w:proofErr w:type="spellEnd"/>
            <w:r w:rsidR="003319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3319C9">
              <w:rPr>
                <w:rFonts w:asciiTheme="minorHAnsi" w:hAnsiTheme="minorHAnsi"/>
                <w:sz w:val="20"/>
                <w:szCs w:val="20"/>
              </w:rPr>
              <w:t>uspješnu</w:t>
            </w:r>
            <w:proofErr w:type="spellEnd"/>
            <w:r w:rsidR="003319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3319C9">
              <w:rPr>
                <w:rFonts w:asciiTheme="minorHAnsi" w:hAnsiTheme="minorHAnsi"/>
                <w:sz w:val="20"/>
                <w:szCs w:val="20"/>
              </w:rPr>
              <w:t>invaziju</w:t>
            </w:r>
            <w:proofErr w:type="spellEnd"/>
            <w:r w:rsidR="003319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3319C9">
              <w:rPr>
                <w:rFonts w:asciiTheme="minorHAnsi" w:hAnsiTheme="minorHAnsi"/>
                <w:sz w:val="20"/>
                <w:szCs w:val="20"/>
              </w:rPr>
              <w:t>na</w:t>
            </w:r>
            <w:proofErr w:type="spellEnd"/>
            <w:r w:rsidR="003319C9">
              <w:rPr>
                <w:rFonts w:asciiTheme="minorHAnsi" w:hAnsiTheme="minorHAnsi"/>
                <w:sz w:val="20"/>
                <w:szCs w:val="20"/>
              </w:rPr>
              <w:t xml:space="preserve"> Englesku</w:t>
            </w:r>
            <w:bookmarkStart w:id="0" w:name="_GoBack"/>
            <w:bookmarkEnd w:id="0"/>
            <w:r w:rsidRPr="002B5744">
              <w:rPr>
                <w:rFonts w:asciiTheme="minorHAnsi" w:hAnsiTheme="minorHAnsi"/>
                <w:sz w:val="20"/>
                <w:szCs w:val="20"/>
              </w:rPr>
              <w:t>.  S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>lobodno vrijeme. Noćenje.</w:t>
            </w:r>
          </w:p>
          <w:p w:rsidR="00012E7B" w:rsidRPr="002B5744" w:rsidRDefault="00012E7B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12E7B" w:rsidTr="002B5744">
        <w:trPr>
          <w:trHeight w:val="812"/>
        </w:trPr>
        <w:tc>
          <w:tcPr>
            <w:tcW w:w="1350" w:type="dxa"/>
          </w:tcPr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02.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6.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lang w:val="hr-HR"/>
              </w:rPr>
              <w:t>utorak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</w:p>
          <w:p w:rsidR="00012E7B" w:rsidRDefault="00012E7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8249" w:type="dxa"/>
          </w:tcPr>
          <w:p w:rsidR="00012E7B" w:rsidRPr="002B5744" w:rsidRDefault="002B5744" w:rsidP="002B5744">
            <w:pPr>
              <w:jc w:val="both"/>
              <w:rPr>
                <w:rFonts w:asciiTheme="minorHAnsi" w:hAnsiTheme="minorHAnsi"/>
                <w:sz w:val="20"/>
                <w:szCs w:val="20"/>
                <w:lang w:val="hr-HR"/>
              </w:rPr>
            </w:pP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Raniji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doručak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Odjava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iz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hotela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5744">
              <w:rPr>
                <w:rFonts w:asciiTheme="minorHAnsi" w:hAnsiTheme="minorHAnsi"/>
                <w:sz w:val="20"/>
                <w:szCs w:val="20"/>
              </w:rPr>
              <w:t>polazak</w:t>
            </w:r>
            <w:proofErr w:type="spellEnd"/>
            <w:r w:rsidRPr="002B57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prema </w:t>
            </w:r>
            <w:r w:rsidRPr="00151747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hr-HR"/>
              </w:rPr>
              <w:t>Nantesu.</w:t>
            </w:r>
            <w:r w:rsidRPr="002B57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 xml:space="preserve">Šetnja ulicama starog dijela grada do obližnjeg zamka bretonskih kneževa i katedrale </w:t>
            </w:r>
            <w:r w:rsidRPr="002B5744">
              <w:rPr>
                <w:rFonts w:asciiTheme="minorHAnsi" w:hAnsiTheme="minorHAnsi"/>
                <w:i/>
                <w:iCs/>
                <w:sz w:val="20"/>
                <w:szCs w:val="20"/>
                <w:lang w:val="hr-HR"/>
              </w:rPr>
              <w:t xml:space="preserve">St. Pierre et Paul. </w:t>
            </w:r>
            <w:r w:rsidRPr="002B5744">
              <w:rPr>
                <w:rFonts w:asciiTheme="minorHAnsi" w:hAnsiTheme="minorHAnsi"/>
                <w:sz w:val="20"/>
                <w:szCs w:val="20"/>
                <w:lang w:val="hr-HR"/>
              </w:rPr>
              <w:t>Slobodno vrijeme. Vožnja do zračne luke i prijava na let za Split u 18:20 sati. Dolazak u Zračnu luku Split je u 20:20 sati.</w:t>
            </w:r>
          </w:p>
        </w:tc>
      </w:tr>
    </w:tbl>
    <w:p w:rsidR="00012E7B" w:rsidRPr="002B5744" w:rsidRDefault="002B5744" w:rsidP="002B5744">
      <w:pPr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                                                                                          </w:t>
      </w:r>
      <w:r w:rsidRPr="002B5744">
        <w:rPr>
          <w:rFonts w:ascii="Calibri" w:hAnsi="Calibri" w:cs="Calibri"/>
          <w:b/>
          <w:color w:val="FF0000"/>
        </w:rPr>
        <w:t>CIJENA ARANŽMANA:</w:t>
      </w:r>
    </w:p>
    <w:tbl>
      <w:tblPr>
        <w:tblpPr w:leftFromText="180" w:rightFromText="180" w:vertAnchor="text" w:horzAnchor="page" w:tblpX="1392" w:tblpY="21"/>
        <w:tblW w:w="9503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05"/>
        <w:gridCol w:w="2099"/>
        <w:gridCol w:w="2799"/>
      </w:tblGrid>
      <w:tr w:rsidR="00012E7B" w:rsidTr="002B5744">
        <w:trPr>
          <w:cantSplit/>
          <w:trHeight w:val="569"/>
        </w:trPr>
        <w:tc>
          <w:tcPr>
            <w:tcW w:w="4605" w:type="dxa"/>
            <w:vMerge w:val="restart"/>
            <w:vAlign w:val="center"/>
          </w:tcPr>
          <w:p w:rsidR="00012E7B" w:rsidRDefault="002B574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Uplata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hr-HR"/>
              </w:rPr>
              <w:t>prilikom rezervacije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hr-HR"/>
              </w:rPr>
              <w:t>300,00 €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promjenjiva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stavka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ovisna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cijeni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aviokarata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hr-HR"/>
              </w:rPr>
              <w:t>Nadoplata za jednokrevetnu sobu : 200,00 €</w:t>
            </w:r>
          </w:p>
          <w:p w:rsidR="00012E7B" w:rsidRDefault="002B574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MOGU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hr-HR"/>
              </w:rPr>
              <w:t>Ć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NOST OBROČNE OTPLATE</w:t>
            </w:r>
          </w:p>
          <w:p w:rsidR="00012E7B" w:rsidRDefault="00012E7B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012E7B" w:rsidRDefault="002B5744">
            <w:pPr>
              <w:pStyle w:val="Heading2"/>
              <w:tabs>
                <w:tab w:val="center" w:pos="5760"/>
                <w:tab w:val="right" w:pos="8100"/>
              </w:tabs>
              <w:spacing w:line="288" w:lineRule="auto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25 – 30 putnika</w:t>
            </w:r>
          </w:p>
        </w:tc>
        <w:tc>
          <w:tcPr>
            <w:tcW w:w="2799" w:type="dxa"/>
            <w:vAlign w:val="center"/>
          </w:tcPr>
          <w:p w:rsidR="00012E7B" w:rsidRDefault="002B5744" w:rsidP="002B5744">
            <w:pPr>
              <w:pStyle w:val="Heading2"/>
              <w:tabs>
                <w:tab w:val="center" w:pos="5760"/>
                <w:tab w:val="right" w:pos="8100"/>
              </w:tabs>
              <w:spacing w:line="288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980, 00 €</w:t>
            </w:r>
          </w:p>
        </w:tc>
      </w:tr>
      <w:tr w:rsidR="00012E7B" w:rsidTr="002B5744">
        <w:trPr>
          <w:cantSplit/>
          <w:trHeight w:val="558"/>
        </w:trPr>
        <w:tc>
          <w:tcPr>
            <w:tcW w:w="4605" w:type="dxa"/>
            <w:vMerge/>
          </w:tcPr>
          <w:p w:rsidR="00012E7B" w:rsidRDefault="00012E7B">
            <w:pPr>
              <w:pStyle w:val="Heading2"/>
              <w:tabs>
                <w:tab w:val="center" w:pos="5760"/>
                <w:tab w:val="right" w:pos="8100"/>
              </w:tabs>
              <w:spacing w:line="288" w:lineRule="auto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012E7B" w:rsidRDefault="002B5744">
            <w:pPr>
              <w:pStyle w:val="Heading2"/>
              <w:tabs>
                <w:tab w:val="center" w:pos="5760"/>
                <w:tab w:val="right" w:pos="8100"/>
              </w:tabs>
              <w:spacing w:line="288" w:lineRule="auto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20 – 25 putnika</w:t>
            </w:r>
          </w:p>
        </w:tc>
        <w:tc>
          <w:tcPr>
            <w:tcW w:w="2799" w:type="dxa"/>
            <w:vAlign w:val="center"/>
          </w:tcPr>
          <w:p w:rsidR="00012E7B" w:rsidRDefault="002B5744" w:rsidP="002B5744">
            <w:pPr>
              <w:pStyle w:val="Heading2"/>
              <w:tabs>
                <w:tab w:val="center" w:pos="5760"/>
                <w:tab w:val="right" w:pos="8100"/>
              </w:tabs>
              <w:spacing w:line="288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1060, 00 €</w:t>
            </w:r>
          </w:p>
        </w:tc>
      </w:tr>
    </w:tbl>
    <w:p w:rsidR="00012E7B" w:rsidRDefault="002B574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PROGRAM UKLJUČUJE: </w:t>
      </w:r>
      <w:proofErr w:type="spellStart"/>
      <w:r>
        <w:rPr>
          <w:rFonts w:ascii="Calibri" w:hAnsi="Calibri" w:cs="Calibri"/>
          <w:sz w:val="20"/>
          <w:szCs w:val="20"/>
        </w:rPr>
        <w:t>prijevoz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hr-HR"/>
        </w:rPr>
        <w:t>zrakoplovom</w:t>
      </w:r>
      <w:r w:rsidR="005C27F5">
        <w:rPr>
          <w:rFonts w:ascii="Calibri" w:hAnsi="Calibri" w:cs="Calibri"/>
          <w:sz w:val="20"/>
          <w:szCs w:val="20"/>
          <w:lang w:val="hr-HR"/>
        </w:rPr>
        <w:t xml:space="preserve"> Croatia Airlinesa na relaciji </w:t>
      </w:r>
      <w:r>
        <w:rPr>
          <w:rFonts w:ascii="Calibri" w:hAnsi="Calibri" w:cs="Calibri"/>
          <w:sz w:val="20"/>
          <w:szCs w:val="20"/>
          <w:lang w:val="hr-HR"/>
        </w:rPr>
        <w:t xml:space="preserve">Split - Nantes - Split </w:t>
      </w:r>
      <w:proofErr w:type="spellStart"/>
      <w:r>
        <w:rPr>
          <w:rFonts w:ascii="Calibri" w:hAnsi="Calibri" w:cs="Calibri"/>
          <w:sz w:val="20"/>
          <w:szCs w:val="20"/>
        </w:rPr>
        <w:t>sa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uključenim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zrakoplovnim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pristojbama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 w:rsidR="005C27F5">
        <w:rPr>
          <w:rFonts w:ascii="Calibri" w:hAnsi="Calibri" w:cs="Calibri"/>
          <w:sz w:val="20"/>
          <w:szCs w:val="20"/>
        </w:rPr>
        <w:t xml:space="preserve"> 1 </w:t>
      </w:r>
      <w:proofErr w:type="spellStart"/>
      <w:r w:rsidR="005C27F5">
        <w:rPr>
          <w:rFonts w:ascii="Calibri" w:hAnsi="Calibri" w:cs="Calibri"/>
          <w:sz w:val="20"/>
          <w:szCs w:val="20"/>
        </w:rPr>
        <w:t>komad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do 8kg. </w:t>
      </w:r>
      <w:proofErr w:type="spellStart"/>
      <w:r w:rsidR="005C27F5">
        <w:rPr>
          <w:rFonts w:ascii="Calibri" w:hAnsi="Calibri" w:cs="Calibri"/>
          <w:sz w:val="20"/>
          <w:szCs w:val="20"/>
        </w:rPr>
        <w:t>ručne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C27F5">
        <w:rPr>
          <w:rFonts w:ascii="Calibri" w:hAnsi="Calibri" w:cs="Calibri"/>
          <w:sz w:val="20"/>
          <w:szCs w:val="20"/>
        </w:rPr>
        <w:t>prtljage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5C27F5">
        <w:rPr>
          <w:rFonts w:ascii="Calibri" w:hAnsi="Calibri" w:cs="Calibri"/>
          <w:sz w:val="20"/>
          <w:szCs w:val="20"/>
        </w:rPr>
        <w:t>te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1 </w:t>
      </w:r>
      <w:proofErr w:type="spellStart"/>
      <w:r w:rsidR="005C27F5">
        <w:rPr>
          <w:rFonts w:ascii="Calibri" w:hAnsi="Calibri" w:cs="Calibri"/>
          <w:sz w:val="20"/>
          <w:szCs w:val="20"/>
        </w:rPr>
        <w:t>komad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C27F5">
        <w:rPr>
          <w:rFonts w:ascii="Calibri" w:hAnsi="Calibri" w:cs="Calibri"/>
          <w:sz w:val="20"/>
          <w:szCs w:val="20"/>
        </w:rPr>
        <w:t>predane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C27F5">
        <w:rPr>
          <w:rFonts w:ascii="Calibri" w:hAnsi="Calibri" w:cs="Calibri"/>
          <w:sz w:val="20"/>
          <w:szCs w:val="20"/>
        </w:rPr>
        <w:t>prtljage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do 23kg., 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smještaj</w:t>
      </w:r>
      <w:proofErr w:type="spellEnd"/>
      <w:r>
        <w:rPr>
          <w:rFonts w:ascii="Calibri" w:hAnsi="Calibri" w:cs="Calibri"/>
          <w:sz w:val="20"/>
          <w:szCs w:val="20"/>
        </w:rPr>
        <w:t xml:space="preserve"> u </w:t>
      </w:r>
      <w:proofErr w:type="spellStart"/>
      <w:r>
        <w:rPr>
          <w:rFonts w:ascii="Calibri" w:hAnsi="Calibri" w:cs="Calibri"/>
          <w:sz w:val="20"/>
          <w:szCs w:val="20"/>
        </w:rPr>
        <w:t>hotelima</w:t>
      </w:r>
      <w:proofErr w:type="spellEnd"/>
      <w:r>
        <w:rPr>
          <w:rFonts w:ascii="Calibri" w:hAnsi="Calibri" w:cs="Calibri"/>
          <w:sz w:val="20"/>
          <w:szCs w:val="20"/>
        </w:rPr>
        <w:t xml:space="preserve"> 3* u R</w:t>
      </w:r>
      <w:r>
        <w:rPr>
          <w:rFonts w:ascii="Calibri" w:hAnsi="Calibri" w:cs="Calibri"/>
          <w:sz w:val="20"/>
          <w:szCs w:val="20"/>
          <w:lang w:val="hr-HR"/>
        </w:rPr>
        <w:t xml:space="preserve">ennesu i 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Caenu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C27F5">
        <w:rPr>
          <w:rFonts w:ascii="Calibri" w:hAnsi="Calibri" w:cs="Calibri"/>
          <w:sz w:val="20"/>
          <w:szCs w:val="20"/>
        </w:rPr>
        <w:t>bazi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C27F5">
        <w:rPr>
          <w:rFonts w:ascii="Calibri" w:hAnsi="Calibri" w:cs="Calibri"/>
          <w:sz w:val="20"/>
          <w:szCs w:val="20"/>
        </w:rPr>
        <w:t>četiri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C27F5">
        <w:rPr>
          <w:rFonts w:ascii="Calibri" w:hAnsi="Calibri" w:cs="Calibri"/>
          <w:sz w:val="20"/>
          <w:szCs w:val="20"/>
        </w:rPr>
        <w:t>noćenja</w:t>
      </w:r>
      <w:proofErr w:type="spellEnd"/>
      <w:r w:rsidR="005C27F5">
        <w:rPr>
          <w:rFonts w:ascii="Calibri" w:hAnsi="Calibri" w:cs="Calibri"/>
          <w:sz w:val="20"/>
          <w:szCs w:val="20"/>
        </w:rPr>
        <w:t xml:space="preserve"> s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doručkom</w:t>
      </w:r>
      <w:proofErr w:type="spellEnd"/>
      <w:r>
        <w:rPr>
          <w:rFonts w:ascii="Calibri" w:hAnsi="Calibri" w:cs="Calibri"/>
          <w:sz w:val="20"/>
          <w:szCs w:val="20"/>
        </w:rPr>
        <w:t xml:space="preserve">,  </w:t>
      </w:r>
      <w:proofErr w:type="spellStart"/>
      <w:r>
        <w:rPr>
          <w:rFonts w:ascii="Calibri" w:hAnsi="Calibri" w:cs="Calibri"/>
          <w:sz w:val="20"/>
          <w:szCs w:val="20"/>
        </w:rPr>
        <w:t>prijevoz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autobusom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relacijama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navedenim</w:t>
      </w:r>
      <w:proofErr w:type="spellEnd"/>
      <w:r>
        <w:rPr>
          <w:rFonts w:ascii="Calibri" w:hAnsi="Calibri" w:cs="Calibri"/>
          <w:sz w:val="20"/>
          <w:szCs w:val="20"/>
        </w:rPr>
        <w:t xml:space="preserve"> u </w:t>
      </w:r>
      <w:proofErr w:type="spellStart"/>
      <w:r>
        <w:rPr>
          <w:rFonts w:ascii="Calibri" w:hAnsi="Calibri" w:cs="Calibri"/>
          <w:sz w:val="20"/>
          <w:szCs w:val="20"/>
        </w:rPr>
        <w:t>programu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ulaznice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za</w:t>
      </w:r>
      <w:proofErr w:type="spellEnd"/>
      <w:r>
        <w:rPr>
          <w:rFonts w:ascii="Calibri" w:hAnsi="Calibri" w:cs="Calibri"/>
          <w:sz w:val="20"/>
          <w:szCs w:val="20"/>
        </w:rPr>
        <w:t xml:space="preserve"> M</w:t>
      </w:r>
      <w:r>
        <w:rPr>
          <w:rFonts w:ascii="Calibri" w:hAnsi="Calibri" w:cs="Calibri"/>
          <w:sz w:val="20"/>
          <w:szCs w:val="20"/>
          <w:lang w:val="hr-HR"/>
        </w:rPr>
        <w:t>emorijalni m</w:t>
      </w:r>
      <w:proofErr w:type="spellStart"/>
      <w:r>
        <w:rPr>
          <w:rFonts w:ascii="Calibri" w:hAnsi="Calibri" w:cs="Calibri"/>
          <w:sz w:val="20"/>
          <w:szCs w:val="20"/>
        </w:rPr>
        <w:t>uzej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Omah</w:t>
      </w:r>
      <w:proofErr w:type="spellEnd"/>
      <w:r w:rsidR="005C27F5">
        <w:rPr>
          <w:rFonts w:ascii="Calibri" w:hAnsi="Calibri" w:cs="Calibri"/>
          <w:sz w:val="20"/>
          <w:szCs w:val="20"/>
          <w:lang w:val="hr-HR"/>
        </w:rPr>
        <w:t xml:space="preserve">a, </w:t>
      </w:r>
      <w:r>
        <w:rPr>
          <w:rFonts w:ascii="Calibri" w:hAnsi="Calibri" w:cs="Calibri"/>
          <w:sz w:val="20"/>
          <w:szCs w:val="20"/>
          <w:lang w:val="hr-HR"/>
        </w:rPr>
        <w:t xml:space="preserve"> opatiji i crkvi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hr-HR"/>
        </w:rPr>
        <w:t>u</w:t>
      </w:r>
      <w:r>
        <w:rPr>
          <w:rFonts w:ascii="Calibri" w:hAnsi="Calibri" w:cs="Calibri"/>
          <w:sz w:val="20"/>
          <w:szCs w:val="20"/>
        </w:rPr>
        <w:t xml:space="preserve"> Mont</w:t>
      </w:r>
      <w:r>
        <w:rPr>
          <w:rFonts w:ascii="Calibri" w:hAnsi="Calibri" w:cs="Calibri"/>
          <w:sz w:val="20"/>
          <w:szCs w:val="20"/>
          <w:lang w:val="hr-HR"/>
        </w:rPr>
        <w:t xml:space="preserve"> Saint</w:t>
      </w:r>
      <w:r>
        <w:rPr>
          <w:rFonts w:ascii="Calibri" w:hAnsi="Calibri" w:cs="Calibri"/>
          <w:sz w:val="20"/>
          <w:szCs w:val="20"/>
        </w:rPr>
        <w:t xml:space="preserve"> Michel-u, </w:t>
      </w:r>
      <w:r>
        <w:rPr>
          <w:rFonts w:ascii="Calibri" w:hAnsi="Calibri" w:cs="Calibri"/>
          <w:sz w:val="20"/>
          <w:szCs w:val="20"/>
          <w:lang w:val="hr-HR"/>
        </w:rPr>
        <w:t xml:space="preserve">lokalnog vodiča u Mont Saint Michel- u, </w:t>
      </w:r>
      <w:proofErr w:type="spellStart"/>
      <w:r>
        <w:rPr>
          <w:rFonts w:ascii="Calibri" w:hAnsi="Calibri" w:cs="Calibri"/>
          <w:sz w:val="20"/>
          <w:szCs w:val="20"/>
        </w:rPr>
        <w:t>agencijskog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pratitelja-vodiča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jamčevina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turistički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paket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aranžman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osiguranje</w:t>
      </w:r>
      <w:proofErr w:type="spellEnd"/>
      <w:r>
        <w:rPr>
          <w:rFonts w:ascii="Calibri" w:hAnsi="Calibri" w:cs="Calibri"/>
          <w:sz w:val="20"/>
          <w:szCs w:val="20"/>
        </w:rPr>
        <w:t xml:space="preserve"> od </w:t>
      </w:r>
      <w:proofErr w:type="spellStart"/>
      <w:r>
        <w:rPr>
          <w:rFonts w:ascii="Calibri" w:hAnsi="Calibri" w:cs="Calibri"/>
          <w:sz w:val="20"/>
          <w:szCs w:val="20"/>
        </w:rPr>
        <w:t>posljedica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nesretnog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slučaja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putno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zdravstveno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osiguranje</w:t>
      </w:r>
      <w:proofErr w:type="spellEnd"/>
      <w:r>
        <w:rPr>
          <w:rFonts w:ascii="Calibri" w:hAnsi="Calibri" w:cs="Calibri"/>
          <w:sz w:val="20"/>
          <w:szCs w:val="20"/>
        </w:rPr>
        <w:t xml:space="preserve"> GENERALI, </w:t>
      </w:r>
      <w:proofErr w:type="spellStart"/>
      <w:r>
        <w:rPr>
          <w:rFonts w:ascii="Calibri" w:hAnsi="Calibri" w:cs="Calibri"/>
          <w:sz w:val="20"/>
          <w:szCs w:val="20"/>
        </w:rPr>
        <w:t>zakonom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propisan</w:t>
      </w:r>
      <w:proofErr w:type="spellEnd"/>
      <w:r>
        <w:rPr>
          <w:rFonts w:ascii="Calibri" w:hAnsi="Calibri" w:cs="Calibri"/>
          <w:sz w:val="20"/>
          <w:szCs w:val="20"/>
        </w:rPr>
        <w:t xml:space="preserve"> PDV, </w:t>
      </w:r>
      <w:proofErr w:type="spellStart"/>
      <w:r>
        <w:rPr>
          <w:rFonts w:ascii="Calibri" w:hAnsi="Calibri" w:cs="Calibri"/>
          <w:sz w:val="20"/>
          <w:szCs w:val="20"/>
        </w:rPr>
        <w:t>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organizaciju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putovanja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012E7B" w:rsidRDefault="002B574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PREPORUKA</w:t>
      </w:r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uplata</w:t>
      </w:r>
      <w:proofErr w:type="spellEnd"/>
      <w:r>
        <w:rPr>
          <w:rFonts w:ascii="Calibri" w:hAnsi="Calibri" w:cs="Calibri"/>
          <w:sz w:val="20"/>
          <w:szCs w:val="20"/>
        </w:rPr>
        <w:t xml:space="preserve"> police </w:t>
      </w:r>
      <w:proofErr w:type="spellStart"/>
      <w:r>
        <w:rPr>
          <w:rFonts w:ascii="Calibri" w:hAnsi="Calibri" w:cs="Calibri"/>
          <w:sz w:val="20"/>
          <w:szCs w:val="20"/>
        </w:rPr>
        <w:t>osiguranja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rizika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otkaza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putovanja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  <w:lang w:val="hr-HR"/>
        </w:rPr>
        <w:t xml:space="preserve">34,00 € </w:t>
      </w:r>
      <w:r>
        <w:rPr>
          <w:rFonts w:ascii="Calibri" w:hAnsi="Calibri" w:cs="Calibri"/>
          <w:sz w:val="20"/>
          <w:szCs w:val="20"/>
        </w:rPr>
        <w:t>(</w:t>
      </w:r>
      <w:proofErr w:type="spellStart"/>
      <w:r>
        <w:rPr>
          <w:rFonts w:ascii="Calibri" w:hAnsi="Calibri" w:cs="Calibri"/>
          <w:sz w:val="20"/>
          <w:szCs w:val="20"/>
        </w:rPr>
        <w:t>plativo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isključivo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kod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prve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uplate</w:t>
      </w:r>
      <w:proofErr w:type="spellEnd"/>
      <w:r>
        <w:rPr>
          <w:rFonts w:ascii="Calibri" w:hAnsi="Calibri" w:cs="Calibri"/>
          <w:sz w:val="20"/>
          <w:szCs w:val="20"/>
        </w:rPr>
        <w:t xml:space="preserve">) </w:t>
      </w:r>
    </w:p>
    <w:p w:rsidR="002B5744" w:rsidRDefault="002B5744">
      <w:pPr>
        <w:jc w:val="both"/>
        <w:rPr>
          <w:rFonts w:ascii="Calibri" w:hAnsi="Calibri" w:cs="Calibri"/>
          <w:sz w:val="20"/>
          <w:szCs w:val="20"/>
        </w:rPr>
      </w:pPr>
    </w:p>
    <w:p w:rsidR="00012E7B" w:rsidRDefault="002B5744">
      <w:pPr>
        <w:ind w:firstLineChars="1150" w:firstLine="2300"/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PUTOKAZI SPLIT, </w:t>
      </w:r>
      <w:proofErr w:type="spellStart"/>
      <w:r>
        <w:rPr>
          <w:rFonts w:ascii="Calibri" w:hAnsi="Calibri" w:cs="Calibri"/>
          <w:b/>
          <w:color w:val="FF0000"/>
          <w:sz w:val="20"/>
          <w:szCs w:val="20"/>
        </w:rPr>
        <w:t>Mažuranićevo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color w:val="FF0000"/>
          <w:sz w:val="20"/>
          <w:szCs w:val="20"/>
        </w:rPr>
        <w:t>šetalište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</w:rPr>
        <w:t xml:space="preserve"> 14, </w:t>
      </w:r>
      <w:proofErr w:type="spellStart"/>
      <w:r>
        <w:rPr>
          <w:rFonts w:ascii="Calibri" w:hAnsi="Calibri" w:cs="Calibri"/>
          <w:b/>
          <w:color w:val="FF0000"/>
          <w:sz w:val="20"/>
          <w:szCs w:val="20"/>
        </w:rPr>
        <w:t>tel</w:t>
      </w:r>
      <w:proofErr w:type="spellEnd"/>
      <w:r>
        <w:rPr>
          <w:rFonts w:ascii="Calibri" w:hAnsi="Calibri" w:cs="Calibri"/>
          <w:b/>
          <w:color w:val="FF0000"/>
          <w:sz w:val="20"/>
          <w:szCs w:val="20"/>
        </w:rPr>
        <w:t>: 455-038, R.V. 9,00 – 17,00 sati</w:t>
      </w:r>
    </w:p>
    <w:p w:rsidR="00012E7B" w:rsidRDefault="002B5744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mob: 099/26 424 26, www.putokazi-split.com; e-mail: </w:t>
      </w:r>
      <w:r>
        <w:rPr>
          <w:rFonts w:ascii="Calibri" w:hAnsi="Calibri" w:cs="Calibri"/>
          <w:b/>
          <w:color w:val="FF0000"/>
          <w:sz w:val="20"/>
          <w:szCs w:val="20"/>
          <w:lang w:val="hr-HR"/>
        </w:rPr>
        <w:t>jelena</w:t>
      </w:r>
      <w:r>
        <w:rPr>
          <w:rFonts w:ascii="Calibri" w:hAnsi="Calibri" w:cs="Calibri"/>
          <w:b/>
          <w:color w:val="FF0000"/>
          <w:sz w:val="20"/>
          <w:szCs w:val="20"/>
        </w:rPr>
        <w:t>@putokazi-split.com</w:t>
      </w:r>
    </w:p>
    <w:p w:rsidR="00012E7B" w:rsidRDefault="002B5744">
      <w:pPr>
        <w:jc w:val="center"/>
        <w:rPr>
          <w:color w:val="000000"/>
          <w:sz w:val="16"/>
          <w:szCs w:val="16"/>
        </w:rPr>
      </w:pPr>
      <w:r>
        <w:rPr>
          <w:rFonts w:ascii="Calibri" w:hAnsi="Calibri" w:cs="Calibri"/>
          <w:color w:val="FF0000"/>
          <w:sz w:val="20"/>
          <w:szCs w:val="20"/>
        </w:rPr>
        <w:t>ID COD: HR-AB-21060271971</w:t>
      </w:r>
    </w:p>
    <w:sectPr w:rsidR="00012E7B">
      <w:pgSz w:w="12240" w:h="15840"/>
      <w:pgMar w:top="284" w:right="54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6936DA"/>
    <w:rsid w:val="00003CE8"/>
    <w:rsid w:val="000118DD"/>
    <w:rsid w:val="00012E7B"/>
    <w:rsid w:val="0006268D"/>
    <w:rsid w:val="00063D99"/>
    <w:rsid w:val="000B37B8"/>
    <w:rsid w:val="000C7496"/>
    <w:rsid w:val="000E1C80"/>
    <w:rsid w:val="000E272A"/>
    <w:rsid w:val="000F0C96"/>
    <w:rsid w:val="00106D73"/>
    <w:rsid w:val="001104EA"/>
    <w:rsid w:val="001138E2"/>
    <w:rsid w:val="0013412D"/>
    <w:rsid w:val="001412D3"/>
    <w:rsid w:val="00151747"/>
    <w:rsid w:val="00157057"/>
    <w:rsid w:val="00181554"/>
    <w:rsid w:val="00186EE9"/>
    <w:rsid w:val="00187449"/>
    <w:rsid w:val="001909D5"/>
    <w:rsid w:val="001A0E5C"/>
    <w:rsid w:val="001A3376"/>
    <w:rsid w:val="001E18BB"/>
    <w:rsid w:val="002425B9"/>
    <w:rsid w:val="002473C6"/>
    <w:rsid w:val="00277CFF"/>
    <w:rsid w:val="002860A3"/>
    <w:rsid w:val="002A2E90"/>
    <w:rsid w:val="002A39EF"/>
    <w:rsid w:val="002A7F2C"/>
    <w:rsid w:val="002B5744"/>
    <w:rsid w:val="003319C9"/>
    <w:rsid w:val="00344B8A"/>
    <w:rsid w:val="0034753F"/>
    <w:rsid w:val="00352CD9"/>
    <w:rsid w:val="00383442"/>
    <w:rsid w:val="0038533A"/>
    <w:rsid w:val="003E445A"/>
    <w:rsid w:val="003E7607"/>
    <w:rsid w:val="003F01E2"/>
    <w:rsid w:val="00404766"/>
    <w:rsid w:val="0041530E"/>
    <w:rsid w:val="004236BF"/>
    <w:rsid w:val="00442E85"/>
    <w:rsid w:val="004501A6"/>
    <w:rsid w:val="00451E36"/>
    <w:rsid w:val="004A29E5"/>
    <w:rsid w:val="004E32FD"/>
    <w:rsid w:val="004E48E4"/>
    <w:rsid w:val="00513C54"/>
    <w:rsid w:val="005213BA"/>
    <w:rsid w:val="00573B22"/>
    <w:rsid w:val="005872AD"/>
    <w:rsid w:val="005C1885"/>
    <w:rsid w:val="005C27F5"/>
    <w:rsid w:val="00611A0E"/>
    <w:rsid w:val="00625ACF"/>
    <w:rsid w:val="00645A0C"/>
    <w:rsid w:val="00645CB7"/>
    <w:rsid w:val="00660097"/>
    <w:rsid w:val="00665F5F"/>
    <w:rsid w:val="006936DA"/>
    <w:rsid w:val="006A2EED"/>
    <w:rsid w:val="006B1B91"/>
    <w:rsid w:val="006B3A61"/>
    <w:rsid w:val="006C5525"/>
    <w:rsid w:val="006E3413"/>
    <w:rsid w:val="006E41EE"/>
    <w:rsid w:val="006F7A27"/>
    <w:rsid w:val="00700B77"/>
    <w:rsid w:val="00700C6F"/>
    <w:rsid w:val="00713A4B"/>
    <w:rsid w:val="00735671"/>
    <w:rsid w:val="00744462"/>
    <w:rsid w:val="0076453E"/>
    <w:rsid w:val="00797A01"/>
    <w:rsid w:val="007D5689"/>
    <w:rsid w:val="007D66D5"/>
    <w:rsid w:val="007F49BE"/>
    <w:rsid w:val="0080607C"/>
    <w:rsid w:val="00840F52"/>
    <w:rsid w:val="00865C21"/>
    <w:rsid w:val="00872781"/>
    <w:rsid w:val="00885498"/>
    <w:rsid w:val="008A2E9B"/>
    <w:rsid w:val="008B6775"/>
    <w:rsid w:val="008C4866"/>
    <w:rsid w:val="008C501B"/>
    <w:rsid w:val="008D2CFC"/>
    <w:rsid w:val="008F4172"/>
    <w:rsid w:val="00903450"/>
    <w:rsid w:val="0092725C"/>
    <w:rsid w:val="00946164"/>
    <w:rsid w:val="0096702A"/>
    <w:rsid w:val="00971C04"/>
    <w:rsid w:val="009C3966"/>
    <w:rsid w:val="009D18AC"/>
    <w:rsid w:val="009F6BC9"/>
    <w:rsid w:val="00A303FC"/>
    <w:rsid w:val="00A44E13"/>
    <w:rsid w:val="00A75409"/>
    <w:rsid w:val="00A77284"/>
    <w:rsid w:val="00A83D4D"/>
    <w:rsid w:val="00A919A9"/>
    <w:rsid w:val="00A91C23"/>
    <w:rsid w:val="00A96023"/>
    <w:rsid w:val="00A960E6"/>
    <w:rsid w:val="00AA013B"/>
    <w:rsid w:val="00AD1EE2"/>
    <w:rsid w:val="00AE7521"/>
    <w:rsid w:val="00B22179"/>
    <w:rsid w:val="00B22CE1"/>
    <w:rsid w:val="00B237F3"/>
    <w:rsid w:val="00B607E8"/>
    <w:rsid w:val="00B759DE"/>
    <w:rsid w:val="00B80863"/>
    <w:rsid w:val="00BA1583"/>
    <w:rsid w:val="00BD1B53"/>
    <w:rsid w:val="00BE32E3"/>
    <w:rsid w:val="00BF27F3"/>
    <w:rsid w:val="00C27867"/>
    <w:rsid w:val="00C369AE"/>
    <w:rsid w:val="00C44DC6"/>
    <w:rsid w:val="00C572A4"/>
    <w:rsid w:val="00C7398E"/>
    <w:rsid w:val="00CA566D"/>
    <w:rsid w:val="00CC49DB"/>
    <w:rsid w:val="00CC4D29"/>
    <w:rsid w:val="00CE46B7"/>
    <w:rsid w:val="00D4752E"/>
    <w:rsid w:val="00D54EB8"/>
    <w:rsid w:val="00DA1998"/>
    <w:rsid w:val="00DE3568"/>
    <w:rsid w:val="00E342BE"/>
    <w:rsid w:val="00E36BB4"/>
    <w:rsid w:val="00E81F2D"/>
    <w:rsid w:val="00EA357B"/>
    <w:rsid w:val="00EB2AAC"/>
    <w:rsid w:val="00ED18AB"/>
    <w:rsid w:val="00ED2DE9"/>
    <w:rsid w:val="00F0337D"/>
    <w:rsid w:val="00F4529E"/>
    <w:rsid w:val="00F76809"/>
    <w:rsid w:val="00F85180"/>
    <w:rsid w:val="00FC30DC"/>
    <w:rsid w:val="00FC54BB"/>
    <w:rsid w:val="00FF0A51"/>
    <w:rsid w:val="184B368E"/>
    <w:rsid w:val="208E5D72"/>
    <w:rsid w:val="274B3E28"/>
    <w:rsid w:val="31E42F60"/>
    <w:rsid w:val="3F401791"/>
    <w:rsid w:val="5FB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BCDA72"/>
  <w15:docId w15:val="{3120115E-8CE5-48BE-8054-C7EA9CFC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.imgur.com/x6pGuaS.jpg" TargetMode="External"/><Relationship Id="rId13" Type="http://schemas.openxmlformats.org/officeDocument/2006/relationships/image" Target="https://theluxurytravelexpert.files.wordpress.com/2015/01/our-lady-of-the-assumption-cathedral-roue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previews.123rf.com/images/esinel/esinel1312/esinel131200009/24376255-Place-Sainte-Anne-Rennes-France-Stock-Photo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http://tours.france.com/backoffice/files/tours/20140503112938-Mont-Saint-Michel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4055-249B-4FB6-85C1-02FC595A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IRSKA</vt:lpstr>
    </vt:vector>
  </TitlesOfParts>
  <Company>Putokazi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IRSKA</dc:title>
  <dc:creator>Ratka</dc:creator>
  <cp:lastModifiedBy>Vele</cp:lastModifiedBy>
  <cp:revision>4</cp:revision>
  <cp:lastPrinted>2026-02-12T12:34:00Z</cp:lastPrinted>
  <dcterms:created xsi:type="dcterms:W3CDTF">2026-02-12T12:34:00Z</dcterms:created>
  <dcterms:modified xsi:type="dcterms:W3CDTF">2026-02-12T13:50:00Z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128C6194FF3241C0AF7F8A32500B864F_12</vt:lpwstr>
  </property>
</Properties>
</file>